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CCF0" w14:textId="77777777" w:rsidR="00FF4452" w:rsidRPr="00B61838" w:rsidRDefault="00FF4452" w:rsidP="0084612D">
      <w:pPr>
        <w:spacing w:after="0"/>
        <w:contextualSpacing/>
        <w:jc w:val="center"/>
      </w:pPr>
    </w:p>
    <w:p w14:paraId="2B79EFE0" w14:textId="77777777" w:rsidR="00FF4452" w:rsidRPr="00B61838" w:rsidRDefault="00FF4452" w:rsidP="0084612D">
      <w:pPr>
        <w:spacing w:after="0"/>
        <w:contextualSpacing/>
        <w:jc w:val="center"/>
      </w:pPr>
    </w:p>
    <w:p w14:paraId="7FF4324C" w14:textId="77777777" w:rsidR="00FF4452" w:rsidRPr="00B61838" w:rsidRDefault="00FF4452" w:rsidP="0084612D">
      <w:pPr>
        <w:spacing w:after="0"/>
        <w:contextualSpacing/>
        <w:jc w:val="center"/>
      </w:pPr>
    </w:p>
    <w:p w14:paraId="563A8A37" w14:textId="77777777" w:rsidR="00FF4452" w:rsidRPr="00B61838" w:rsidRDefault="00FF4452" w:rsidP="0084612D">
      <w:pPr>
        <w:spacing w:after="0"/>
        <w:contextualSpacing/>
        <w:jc w:val="center"/>
      </w:pPr>
    </w:p>
    <w:p w14:paraId="1ED53C85" w14:textId="77777777" w:rsidR="00FF4452" w:rsidRPr="00B61838" w:rsidRDefault="00FF4452" w:rsidP="0084612D">
      <w:pPr>
        <w:spacing w:after="0"/>
        <w:contextualSpacing/>
        <w:jc w:val="center"/>
      </w:pPr>
    </w:p>
    <w:p w14:paraId="757F7A4D" w14:textId="77777777" w:rsidR="00FF4452" w:rsidRPr="00B61838" w:rsidRDefault="00FF4452" w:rsidP="0084612D">
      <w:pPr>
        <w:spacing w:after="0"/>
        <w:contextualSpacing/>
        <w:jc w:val="center"/>
      </w:pPr>
    </w:p>
    <w:p w14:paraId="3683E0D2" w14:textId="77777777" w:rsidR="00FF4452" w:rsidRPr="00B61838" w:rsidRDefault="00FF4452" w:rsidP="0084612D">
      <w:pPr>
        <w:spacing w:after="0"/>
        <w:contextualSpacing/>
        <w:jc w:val="center"/>
      </w:pPr>
    </w:p>
    <w:p w14:paraId="7C54B413" w14:textId="77777777" w:rsidR="00FF4452" w:rsidRPr="00B61838" w:rsidRDefault="00FF4452" w:rsidP="0084612D">
      <w:pPr>
        <w:spacing w:after="0"/>
        <w:contextualSpacing/>
        <w:jc w:val="center"/>
      </w:pPr>
    </w:p>
    <w:p w14:paraId="588D2A4C" w14:textId="77777777" w:rsidR="00FF4452" w:rsidRPr="00B61838" w:rsidRDefault="00FF4452" w:rsidP="0084612D">
      <w:pPr>
        <w:spacing w:after="0"/>
        <w:contextualSpacing/>
        <w:jc w:val="center"/>
      </w:pPr>
    </w:p>
    <w:p w14:paraId="3A9C86F1" w14:textId="77777777" w:rsidR="00FF4452" w:rsidRPr="00B61838" w:rsidRDefault="00FF4452" w:rsidP="0084612D">
      <w:pPr>
        <w:spacing w:after="0"/>
        <w:contextualSpacing/>
        <w:jc w:val="center"/>
      </w:pPr>
    </w:p>
    <w:p w14:paraId="21F1A385" w14:textId="77777777" w:rsidR="00FF4452" w:rsidRPr="00B61838" w:rsidRDefault="00FF4452" w:rsidP="0084612D">
      <w:pPr>
        <w:spacing w:after="0"/>
        <w:contextualSpacing/>
        <w:jc w:val="center"/>
      </w:pPr>
    </w:p>
    <w:p w14:paraId="4E1AE23C" w14:textId="77777777" w:rsidR="00FF4452" w:rsidRPr="00B61838" w:rsidRDefault="00FF4452" w:rsidP="0084612D">
      <w:pPr>
        <w:spacing w:after="0"/>
        <w:contextualSpacing/>
        <w:jc w:val="center"/>
      </w:pPr>
    </w:p>
    <w:p w14:paraId="7865E51F" w14:textId="58DD81EA" w:rsidR="004C2FB4" w:rsidRDefault="00B71D12" w:rsidP="0084612D">
      <w:pPr>
        <w:spacing w:after="0"/>
        <w:contextualSpacing/>
        <w:jc w:val="center"/>
      </w:pPr>
      <w:bookmarkStart w:id="0" w:name="_GoBack"/>
      <w:r>
        <w:t>Waste Management Practices</w:t>
      </w:r>
    </w:p>
    <w:bookmarkEnd w:id="0"/>
    <w:p w14:paraId="7813C17B" w14:textId="77777777" w:rsidR="00FF4452" w:rsidRPr="00B61838" w:rsidRDefault="00FF4452" w:rsidP="0084612D">
      <w:pPr>
        <w:spacing w:after="0"/>
        <w:contextualSpacing/>
        <w:jc w:val="center"/>
      </w:pPr>
      <w:r w:rsidRPr="00B61838">
        <w:t>Student’s Name</w:t>
      </w:r>
    </w:p>
    <w:p w14:paraId="28F28931" w14:textId="77777777" w:rsidR="00304BDB" w:rsidRDefault="00FF4452" w:rsidP="0084612D">
      <w:pPr>
        <w:spacing w:after="0"/>
        <w:contextualSpacing/>
        <w:jc w:val="center"/>
      </w:pPr>
      <w:r w:rsidRPr="00B61838">
        <w:t>Institutional Affiliation</w:t>
      </w:r>
    </w:p>
    <w:p w14:paraId="7B85D9DD" w14:textId="77777777" w:rsidR="00304BDB" w:rsidRDefault="00304BDB" w:rsidP="0084612D">
      <w:pPr>
        <w:spacing w:after="0"/>
        <w:contextualSpacing/>
        <w:jc w:val="center"/>
      </w:pPr>
    </w:p>
    <w:p w14:paraId="5903F4E9" w14:textId="1269D98E" w:rsidR="0087127F" w:rsidRDefault="00304BDB" w:rsidP="0084612D">
      <w:pPr>
        <w:spacing w:after="0"/>
        <w:ind w:firstLine="720"/>
        <w:contextualSpacing/>
      </w:pPr>
      <w:r>
        <w:br w:type="page"/>
      </w:r>
    </w:p>
    <w:p w14:paraId="081740BB" w14:textId="77777777" w:rsidR="009D5616" w:rsidRPr="0084612D" w:rsidRDefault="009D5616" w:rsidP="0084612D">
      <w:pPr>
        <w:spacing w:after="0"/>
        <w:contextualSpacing/>
        <w:rPr>
          <w:b/>
        </w:rPr>
      </w:pPr>
      <w:r w:rsidRPr="0084612D">
        <w:rPr>
          <w:b/>
        </w:rPr>
        <w:lastRenderedPageBreak/>
        <w:t>Microbial succession is important to bring the composting process to completion. Explain.</w:t>
      </w:r>
    </w:p>
    <w:p w14:paraId="7F1AEE04" w14:textId="5C4AFE0C" w:rsidR="009D5616" w:rsidRDefault="009D5616" w:rsidP="0084612D">
      <w:pPr>
        <w:spacing w:after="0"/>
        <w:ind w:firstLine="720"/>
        <w:contextualSpacing/>
      </w:pPr>
      <w:r>
        <w:t>Microbes play an important role in the composting process thus it is essential to monitor the microbial succession. The quality of the compost which is maturing can be tested by the use of</w:t>
      </w:r>
      <w:r w:rsidR="00B71D12">
        <w:t xml:space="preserve"> the</w:t>
      </w:r>
      <w:r>
        <w:t xml:space="preserve"> microbes appearing</w:t>
      </w:r>
      <w:sdt>
        <w:sdtPr>
          <w:id w:val="1262719710"/>
          <w:citation/>
        </w:sdtPr>
        <w:sdtEndPr/>
        <w:sdtContent>
          <w:r w:rsidR="00B71D12">
            <w:fldChar w:fldCharType="begin"/>
          </w:r>
          <w:r w:rsidR="00B71D12">
            <w:instrText xml:space="preserve"> CITATION KIs00 \l 1033 </w:instrText>
          </w:r>
          <w:r w:rsidR="00B71D12">
            <w:fldChar w:fldCharType="separate"/>
          </w:r>
          <w:r w:rsidR="00B71D12">
            <w:rPr>
              <w:noProof/>
            </w:rPr>
            <w:t xml:space="preserve"> (Ishii, Fukui, &amp; Takii, 2000)</w:t>
          </w:r>
          <w:r w:rsidR="00B71D12">
            <w:fldChar w:fldCharType="end"/>
          </w:r>
        </w:sdtContent>
      </w:sdt>
      <w:r>
        <w:t>. Different microbes predominate the composting process at different phases. The conditions during the composition process keep changing, for example, the temperature increases. The mesophilic micro-organisms that dominate during the first phase give way to the thermophilic micro-organisms when temperatures rise above 40°C</w:t>
      </w:r>
      <w:sdt>
        <w:sdtPr>
          <w:id w:val="449060481"/>
          <w:citation/>
        </w:sdtPr>
        <w:sdtEndPr/>
        <w:sdtContent>
          <w:r>
            <w:fldChar w:fldCharType="begin"/>
          </w:r>
          <w:r>
            <w:instrText xml:space="preserve"> CITATION Joh14 \l 1033 </w:instrText>
          </w:r>
          <w:r>
            <w:fldChar w:fldCharType="separate"/>
          </w:r>
          <w:r>
            <w:rPr>
              <w:noProof/>
            </w:rPr>
            <w:t xml:space="preserve"> (Pitchel, 2014)</w:t>
          </w:r>
          <w:r>
            <w:fldChar w:fldCharType="end"/>
          </w:r>
        </w:sdtContent>
      </w:sdt>
      <w:r>
        <w:t>. When the temperatures rise above 55°C, many microorganisms are destroyed. At the final stage of maturing, the mesophilic microorganisms dominate since the temperature decrease. The microbes in one phase create suitable conditions for the microbes in the next stage. This is why the quality of the compost can be determined by the microbes that appear in it. Mature compost will mostly consist of mesophilic microorganisms.</w:t>
      </w:r>
    </w:p>
    <w:p w14:paraId="472A1679" w14:textId="77777777" w:rsidR="009D5616" w:rsidRPr="0084612D" w:rsidRDefault="009D5616" w:rsidP="0084612D">
      <w:pPr>
        <w:spacing w:after="0"/>
        <w:contextualSpacing/>
        <w:rPr>
          <w:b/>
        </w:rPr>
      </w:pPr>
      <w:r w:rsidRPr="0084612D">
        <w:rPr>
          <w:b/>
        </w:rPr>
        <w:t>Define stoichiometric air and heat values.</w:t>
      </w:r>
    </w:p>
    <w:p w14:paraId="34AD0616" w14:textId="50F33BB9" w:rsidR="009D5616" w:rsidRDefault="009D5616" w:rsidP="0084612D">
      <w:pPr>
        <w:spacing w:after="0"/>
        <w:ind w:firstLine="720"/>
        <w:contextualSpacing/>
      </w:pPr>
      <w:r>
        <w:t xml:space="preserve">The stoichiometric mixture is the fuel and the </w:t>
      </w:r>
      <w:r w:rsidR="0084612D">
        <w:t>oxidizers</w:t>
      </w:r>
      <w:r>
        <w:t xml:space="preserve"> which are balanced to ensure none of them remain after combustion. The air in the mixture is the stoichiometric air. It serves as the oxidizer for combustion to occur. The combustion chamber should have enough air for complete combustion ensuring that there are no products produced due to incomplete combustion. Different fuels react differently with different oxidizers so it is important to ensure there is a balance between a specific fuel and the air being used.</w:t>
      </w:r>
    </w:p>
    <w:p w14:paraId="6CCF4392" w14:textId="77777777" w:rsidR="009D5616" w:rsidRDefault="009D5616" w:rsidP="0084612D">
      <w:pPr>
        <w:spacing w:after="0"/>
        <w:contextualSpacing/>
      </w:pPr>
      <w:r>
        <w:t>Heat value</w:t>
      </w:r>
    </w:p>
    <w:p w14:paraId="10990854" w14:textId="3CFAC417" w:rsidR="00B71D12" w:rsidRDefault="009D5616" w:rsidP="0084612D">
      <w:pPr>
        <w:spacing w:after="0"/>
        <w:ind w:firstLine="720"/>
        <w:contextualSpacing/>
      </w:pPr>
      <w:r>
        <w:t>The heat that is released during the combustion of a unit quantity of fuel is known as its heat value. The heat values of different fuels vary. The heat value is also known as the energy value and is measured in joules. The amount of heat released during the complete combustion of a unit quantity fuel is known as high heating value and can only be obtained when certain conditions are met.</w:t>
      </w:r>
    </w:p>
    <w:p w14:paraId="7B4184E9" w14:textId="77777777" w:rsidR="00B71D12" w:rsidRDefault="00B71D12" w:rsidP="0084612D">
      <w:pPr>
        <w:spacing w:after="0"/>
        <w:contextualSpacing/>
      </w:pPr>
      <w:r>
        <w:br w:type="page"/>
      </w:r>
    </w:p>
    <w:sdt>
      <w:sdtPr>
        <w:id w:val="892087152"/>
        <w:docPartObj>
          <w:docPartGallery w:val="Bibliographies"/>
          <w:docPartUnique/>
        </w:docPartObj>
      </w:sdtPr>
      <w:sdtEndPr/>
      <w:sdtContent>
        <w:p w14:paraId="5DE38920" w14:textId="094441A0" w:rsidR="00B71D12" w:rsidRDefault="00B71D12" w:rsidP="0084612D">
          <w:pPr>
            <w:spacing w:after="0"/>
            <w:contextualSpacing/>
            <w:jc w:val="center"/>
          </w:pPr>
          <w:r>
            <w:t>References</w:t>
          </w:r>
        </w:p>
        <w:sdt>
          <w:sdtPr>
            <w:id w:val="-573587230"/>
            <w:bibliography/>
          </w:sdtPr>
          <w:sdtEndPr/>
          <w:sdtContent>
            <w:p w14:paraId="24A14224" w14:textId="77777777" w:rsidR="00B71D12" w:rsidRDefault="00B71D12" w:rsidP="0084612D">
              <w:pPr>
                <w:spacing w:after="0"/>
                <w:ind w:left="720" w:hanging="720"/>
                <w:contextualSpacing/>
                <w:rPr>
                  <w:noProof/>
                </w:rPr>
              </w:pPr>
              <w:r>
                <w:fldChar w:fldCharType="begin"/>
              </w:r>
              <w:r>
                <w:instrText xml:space="preserve"> BIBLIOGRAPHY </w:instrText>
              </w:r>
              <w:r>
                <w:fldChar w:fldCharType="separate"/>
              </w:r>
              <w:r>
                <w:rPr>
                  <w:noProof/>
                </w:rPr>
                <w:t xml:space="preserve">Ishii, K., Fukui, M., &amp; Takii, S. (2000). Microbial succession during a composting process as evaluated by denaturing gradient gel electrophoresis analysis. </w:t>
              </w:r>
              <w:r>
                <w:rPr>
                  <w:i/>
                  <w:iCs/>
                  <w:noProof/>
                </w:rPr>
                <w:t xml:space="preserve">Journal of Applied Microbiology </w:t>
              </w:r>
              <w:r>
                <w:rPr>
                  <w:noProof/>
                </w:rPr>
                <w:t>, 768-777.</w:t>
              </w:r>
            </w:p>
            <w:p w14:paraId="597318D9" w14:textId="77777777" w:rsidR="00B71D12" w:rsidRDefault="00B71D12" w:rsidP="0084612D">
              <w:pPr>
                <w:spacing w:after="0"/>
                <w:ind w:left="720" w:hanging="720"/>
                <w:contextualSpacing/>
                <w:rPr>
                  <w:noProof/>
                </w:rPr>
              </w:pPr>
              <w:r>
                <w:rPr>
                  <w:noProof/>
                </w:rPr>
                <w:t xml:space="preserve">Pitchel, J. (2014). </w:t>
              </w:r>
              <w:r>
                <w:rPr>
                  <w:i/>
                  <w:iCs/>
                  <w:noProof/>
                </w:rPr>
                <w:t>Waste Management Practices: Municipal, Hazardous, and Industrial.</w:t>
              </w:r>
              <w:r>
                <w:rPr>
                  <w:noProof/>
                </w:rPr>
                <w:t xml:space="preserve"> CRC Press: Taylor and Francis Group.</w:t>
              </w:r>
            </w:p>
            <w:p w14:paraId="7D10800A" w14:textId="03FFD969" w:rsidR="00B71D12" w:rsidRDefault="00B71D12" w:rsidP="0084612D">
              <w:pPr>
                <w:spacing w:after="0"/>
                <w:ind w:left="720" w:hanging="720"/>
                <w:contextualSpacing/>
              </w:pPr>
              <w:r>
                <w:rPr>
                  <w:b/>
                  <w:bCs/>
                  <w:noProof/>
                </w:rPr>
                <w:fldChar w:fldCharType="end"/>
              </w:r>
            </w:p>
          </w:sdtContent>
        </w:sdt>
      </w:sdtContent>
    </w:sdt>
    <w:p w14:paraId="1E584FD1" w14:textId="77777777" w:rsidR="008710A8" w:rsidRDefault="008710A8" w:rsidP="0084612D">
      <w:pPr>
        <w:spacing w:after="0"/>
        <w:contextualSpacing/>
        <w:rPr>
          <w:color w:val="000000"/>
          <w:shd w:val="clear" w:color="auto" w:fill="FFFFFF"/>
        </w:rPr>
      </w:pPr>
    </w:p>
    <w:p w14:paraId="6ADE5384" w14:textId="77777777" w:rsidR="008710A8" w:rsidRPr="00B835EE" w:rsidRDefault="008710A8" w:rsidP="0084612D">
      <w:pPr>
        <w:spacing w:after="0"/>
        <w:contextualSpacing/>
      </w:pPr>
    </w:p>
    <w:p w14:paraId="4B868B11" w14:textId="0391F368" w:rsidR="0087127F" w:rsidRPr="00296DB1" w:rsidRDefault="0087127F" w:rsidP="0084612D">
      <w:pPr>
        <w:spacing w:after="0"/>
        <w:contextualSpacing/>
      </w:pPr>
      <w:r>
        <w:tab/>
      </w:r>
    </w:p>
    <w:sectPr w:rsidR="0087127F" w:rsidRPr="00296DB1" w:rsidSect="005E48B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370A3" w14:textId="77777777" w:rsidR="00A6319C" w:rsidRDefault="00A6319C">
      <w:pPr>
        <w:spacing w:after="0" w:line="240" w:lineRule="auto"/>
      </w:pPr>
      <w:r>
        <w:separator/>
      </w:r>
    </w:p>
  </w:endnote>
  <w:endnote w:type="continuationSeparator" w:id="0">
    <w:p w14:paraId="6CC690F3" w14:textId="77777777" w:rsidR="00A6319C" w:rsidRDefault="00A6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6F7CF" w14:textId="77777777" w:rsidR="00A6319C" w:rsidRDefault="00A6319C">
      <w:pPr>
        <w:spacing w:after="0" w:line="240" w:lineRule="auto"/>
      </w:pPr>
      <w:r>
        <w:separator/>
      </w:r>
    </w:p>
  </w:footnote>
  <w:footnote w:type="continuationSeparator" w:id="0">
    <w:p w14:paraId="6753817E" w14:textId="77777777" w:rsidR="00A6319C" w:rsidRDefault="00A63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89273"/>
      <w:docPartObj>
        <w:docPartGallery w:val="Page Numbers (Top of Page)"/>
        <w:docPartUnique/>
      </w:docPartObj>
    </w:sdtPr>
    <w:sdtEndPr>
      <w:rPr>
        <w:noProof/>
      </w:rPr>
    </w:sdtEndPr>
    <w:sdtContent>
      <w:p w14:paraId="24DC81B8" w14:textId="6A995A60" w:rsidR="006E3C8F" w:rsidRPr="00EF3BB3" w:rsidRDefault="00B71D12" w:rsidP="00EF3BB3">
        <w:pPr>
          <w:pStyle w:val="Header"/>
          <w:jc w:val="right"/>
        </w:pPr>
        <w:r>
          <w:t>WASTE MANAGEMENT PRACTICES</w:t>
        </w:r>
        <w:r w:rsidR="006954F5">
          <w:tab/>
        </w:r>
        <w:r w:rsidR="004C2FB4">
          <w:tab/>
        </w:r>
        <w:r w:rsidR="00EF3BB3" w:rsidRPr="00EF3BB3">
          <w:fldChar w:fldCharType="begin"/>
        </w:r>
        <w:r w:rsidR="00EF3BB3" w:rsidRPr="00EF3BB3">
          <w:instrText xml:space="preserve"> PAGE   \* MERGEFORMAT </w:instrText>
        </w:r>
        <w:r w:rsidR="00EF3BB3" w:rsidRPr="00EF3BB3">
          <w:fldChar w:fldCharType="separate"/>
        </w:r>
        <w:r w:rsidR="0084612D">
          <w:rPr>
            <w:noProof/>
          </w:rPr>
          <w:t>2</w:t>
        </w:r>
        <w:r w:rsidR="00EF3BB3" w:rsidRPr="00EF3BB3">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9877" w14:textId="2B0D43F5" w:rsidR="006E3C8F" w:rsidRPr="005E48B7" w:rsidRDefault="00EF3BB3" w:rsidP="002072C8">
    <w:pPr>
      <w:contextualSpacing/>
      <w:jc w:val="center"/>
    </w:pPr>
    <w:r>
      <w:t xml:space="preserve">Running head: </w:t>
    </w:r>
    <w:r w:rsidR="00B71D12">
      <w:t>WASTE MANAGEMENT PRACTICES</w:t>
    </w:r>
    <w:r w:rsidR="00304BDB">
      <w:tab/>
    </w:r>
    <w:r w:rsidR="006954F5">
      <w:tab/>
    </w:r>
    <w:r w:rsidR="006954F5">
      <w:tab/>
    </w:r>
    <w:r w:rsidR="006954F5">
      <w:tab/>
    </w:r>
    <w:r w:rsidR="00B04D46">
      <w:tab/>
    </w:r>
    <w:r w:rsidR="00B04D46" w:rsidRPr="00B04D46">
      <w:fldChar w:fldCharType="begin"/>
    </w:r>
    <w:r w:rsidR="00B04D46" w:rsidRPr="00B04D46">
      <w:instrText xml:space="preserve"> PAGE   \* MERGEFORMAT </w:instrText>
    </w:r>
    <w:r w:rsidR="00B04D46" w:rsidRPr="00B04D46">
      <w:fldChar w:fldCharType="separate"/>
    </w:r>
    <w:r w:rsidR="00A6319C">
      <w:rPr>
        <w:noProof/>
      </w:rPr>
      <w:t>1</w:t>
    </w:r>
    <w:r w:rsidR="00B04D46" w:rsidRPr="00B04D4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212"/>
    <w:multiLevelType w:val="hybridMultilevel"/>
    <w:tmpl w:val="BEA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94F18"/>
    <w:multiLevelType w:val="hybridMultilevel"/>
    <w:tmpl w:val="3B4E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C6029"/>
    <w:multiLevelType w:val="hybridMultilevel"/>
    <w:tmpl w:val="831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0206A"/>
    <w:multiLevelType w:val="hybridMultilevel"/>
    <w:tmpl w:val="C270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F2076"/>
    <w:multiLevelType w:val="hybridMultilevel"/>
    <w:tmpl w:val="1DE2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17C42"/>
    <w:multiLevelType w:val="hybridMultilevel"/>
    <w:tmpl w:val="DDAE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E6C0C"/>
    <w:multiLevelType w:val="hybridMultilevel"/>
    <w:tmpl w:val="1D3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A1CE9"/>
    <w:multiLevelType w:val="hybridMultilevel"/>
    <w:tmpl w:val="A38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4"/>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21F8F"/>
    <w:rsid w:val="000472C7"/>
    <w:rsid w:val="00065910"/>
    <w:rsid w:val="0007386C"/>
    <w:rsid w:val="000A4D97"/>
    <w:rsid w:val="000B5957"/>
    <w:rsid w:val="000C0E32"/>
    <w:rsid w:val="000C15F3"/>
    <w:rsid w:val="000D1BFA"/>
    <w:rsid w:val="00115F34"/>
    <w:rsid w:val="001178F5"/>
    <w:rsid w:val="00123FC4"/>
    <w:rsid w:val="001332CB"/>
    <w:rsid w:val="001B0987"/>
    <w:rsid w:val="001B77BF"/>
    <w:rsid w:val="001D1572"/>
    <w:rsid w:val="001D77E8"/>
    <w:rsid w:val="001E3090"/>
    <w:rsid w:val="002003C6"/>
    <w:rsid w:val="002072C8"/>
    <w:rsid w:val="00235536"/>
    <w:rsid w:val="00242E62"/>
    <w:rsid w:val="002503BF"/>
    <w:rsid w:val="00250ECC"/>
    <w:rsid w:val="00257155"/>
    <w:rsid w:val="00261347"/>
    <w:rsid w:val="00263348"/>
    <w:rsid w:val="002763C2"/>
    <w:rsid w:val="0027644F"/>
    <w:rsid w:val="00276752"/>
    <w:rsid w:val="002861C0"/>
    <w:rsid w:val="0029049A"/>
    <w:rsid w:val="0029249C"/>
    <w:rsid w:val="0029301B"/>
    <w:rsid w:val="00294162"/>
    <w:rsid w:val="00296DB1"/>
    <w:rsid w:val="002B0860"/>
    <w:rsid w:val="002C1613"/>
    <w:rsid w:val="002D46E1"/>
    <w:rsid w:val="002F45C3"/>
    <w:rsid w:val="002F62BE"/>
    <w:rsid w:val="003027F1"/>
    <w:rsid w:val="00304BDB"/>
    <w:rsid w:val="003264A8"/>
    <w:rsid w:val="003449ED"/>
    <w:rsid w:val="00377288"/>
    <w:rsid w:val="00391F2D"/>
    <w:rsid w:val="003B5C41"/>
    <w:rsid w:val="003E322E"/>
    <w:rsid w:val="003E50D7"/>
    <w:rsid w:val="0040620C"/>
    <w:rsid w:val="00421E07"/>
    <w:rsid w:val="00434CAE"/>
    <w:rsid w:val="00443635"/>
    <w:rsid w:val="00443889"/>
    <w:rsid w:val="00462F62"/>
    <w:rsid w:val="004700F5"/>
    <w:rsid w:val="00491ACD"/>
    <w:rsid w:val="004B44DE"/>
    <w:rsid w:val="004B56C5"/>
    <w:rsid w:val="004C2FB4"/>
    <w:rsid w:val="005050C1"/>
    <w:rsid w:val="005058C9"/>
    <w:rsid w:val="00513530"/>
    <w:rsid w:val="0053639D"/>
    <w:rsid w:val="00555A9B"/>
    <w:rsid w:val="005652B1"/>
    <w:rsid w:val="00570A72"/>
    <w:rsid w:val="00576E8D"/>
    <w:rsid w:val="005D2921"/>
    <w:rsid w:val="005F500D"/>
    <w:rsid w:val="00641A3B"/>
    <w:rsid w:val="00663E0B"/>
    <w:rsid w:val="00666869"/>
    <w:rsid w:val="0067469A"/>
    <w:rsid w:val="00675652"/>
    <w:rsid w:val="0068040A"/>
    <w:rsid w:val="00690BCF"/>
    <w:rsid w:val="00692E7A"/>
    <w:rsid w:val="006954F5"/>
    <w:rsid w:val="00695715"/>
    <w:rsid w:val="006A0687"/>
    <w:rsid w:val="006A1DCC"/>
    <w:rsid w:val="006B4A62"/>
    <w:rsid w:val="006B53D3"/>
    <w:rsid w:val="006E0BCA"/>
    <w:rsid w:val="00703E3C"/>
    <w:rsid w:val="00717613"/>
    <w:rsid w:val="00721C77"/>
    <w:rsid w:val="00727E55"/>
    <w:rsid w:val="00741F55"/>
    <w:rsid w:val="007838FF"/>
    <w:rsid w:val="007A048C"/>
    <w:rsid w:val="008077F9"/>
    <w:rsid w:val="0081205B"/>
    <w:rsid w:val="00814DDA"/>
    <w:rsid w:val="0084612D"/>
    <w:rsid w:val="008710A8"/>
    <w:rsid w:val="0087127F"/>
    <w:rsid w:val="00874419"/>
    <w:rsid w:val="00877CDF"/>
    <w:rsid w:val="00886C6F"/>
    <w:rsid w:val="008B305B"/>
    <w:rsid w:val="008C58D4"/>
    <w:rsid w:val="008E329F"/>
    <w:rsid w:val="008F2165"/>
    <w:rsid w:val="00912C64"/>
    <w:rsid w:val="009163C7"/>
    <w:rsid w:val="0094354A"/>
    <w:rsid w:val="009533C2"/>
    <w:rsid w:val="00980850"/>
    <w:rsid w:val="009C0577"/>
    <w:rsid w:val="009D13E1"/>
    <w:rsid w:val="009D5616"/>
    <w:rsid w:val="009D7DDE"/>
    <w:rsid w:val="00A0247A"/>
    <w:rsid w:val="00A112E6"/>
    <w:rsid w:val="00A34FBB"/>
    <w:rsid w:val="00A40BD6"/>
    <w:rsid w:val="00A51A51"/>
    <w:rsid w:val="00A6319C"/>
    <w:rsid w:val="00A80122"/>
    <w:rsid w:val="00A862B2"/>
    <w:rsid w:val="00A93317"/>
    <w:rsid w:val="00A9386F"/>
    <w:rsid w:val="00A938FF"/>
    <w:rsid w:val="00A97854"/>
    <w:rsid w:val="00AC562C"/>
    <w:rsid w:val="00AD0D7F"/>
    <w:rsid w:val="00B04D46"/>
    <w:rsid w:val="00B61913"/>
    <w:rsid w:val="00B64597"/>
    <w:rsid w:val="00B67155"/>
    <w:rsid w:val="00B71D12"/>
    <w:rsid w:val="00B835EE"/>
    <w:rsid w:val="00B93E7C"/>
    <w:rsid w:val="00B96FF0"/>
    <w:rsid w:val="00BA7744"/>
    <w:rsid w:val="00BB673F"/>
    <w:rsid w:val="00BC5B6C"/>
    <w:rsid w:val="00BE36BE"/>
    <w:rsid w:val="00C13A88"/>
    <w:rsid w:val="00C16577"/>
    <w:rsid w:val="00C27EF9"/>
    <w:rsid w:val="00C30CF0"/>
    <w:rsid w:val="00C50DB3"/>
    <w:rsid w:val="00C677D8"/>
    <w:rsid w:val="00C8328B"/>
    <w:rsid w:val="00C84689"/>
    <w:rsid w:val="00CC43F6"/>
    <w:rsid w:val="00CC79F8"/>
    <w:rsid w:val="00D00087"/>
    <w:rsid w:val="00D316DD"/>
    <w:rsid w:val="00D4299C"/>
    <w:rsid w:val="00D469EC"/>
    <w:rsid w:val="00D652C0"/>
    <w:rsid w:val="00D732F7"/>
    <w:rsid w:val="00DA54B5"/>
    <w:rsid w:val="00DB1A20"/>
    <w:rsid w:val="00DD3B19"/>
    <w:rsid w:val="00DD744D"/>
    <w:rsid w:val="00DD7BDE"/>
    <w:rsid w:val="00E1658A"/>
    <w:rsid w:val="00E23FD8"/>
    <w:rsid w:val="00E40C63"/>
    <w:rsid w:val="00E52307"/>
    <w:rsid w:val="00E80788"/>
    <w:rsid w:val="00E96E54"/>
    <w:rsid w:val="00EA31FB"/>
    <w:rsid w:val="00EA4A4D"/>
    <w:rsid w:val="00EA5F55"/>
    <w:rsid w:val="00EB0CB8"/>
    <w:rsid w:val="00EB6B93"/>
    <w:rsid w:val="00EC0B07"/>
    <w:rsid w:val="00EE74E3"/>
    <w:rsid w:val="00EF2D8F"/>
    <w:rsid w:val="00EF3BB3"/>
    <w:rsid w:val="00F03F9D"/>
    <w:rsid w:val="00F1208C"/>
    <w:rsid w:val="00F40252"/>
    <w:rsid w:val="00F55FE1"/>
    <w:rsid w:val="00F56D86"/>
    <w:rsid w:val="00F811F9"/>
    <w:rsid w:val="00F85AA4"/>
    <w:rsid w:val="00F85B7D"/>
    <w:rsid w:val="00F870E4"/>
    <w:rsid w:val="00F9796B"/>
    <w:rsid w:val="00FC0E9E"/>
    <w:rsid w:val="00FF4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84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table" w:styleId="TableGrid">
    <w:name w:val="Table Grid"/>
    <w:basedOn w:val="TableNormal"/>
    <w:uiPriority w:val="39"/>
    <w:rsid w:val="0069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0BCF"/>
    <w:pPr>
      <w:ind w:left="720"/>
      <w:contextualSpacing/>
    </w:pPr>
  </w:style>
  <w:style w:type="paragraph" w:styleId="BalloonText">
    <w:name w:val="Balloon Text"/>
    <w:basedOn w:val="Normal"/>
    <w:link w:val="BalloonTextChar"/>
    <w:uiPriority w:val="99"/>
    <w:semiHidden/>
    <w:unhideWhenUsed/>
    <w:rsid w:val="00846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8113">
      <w:bodyDiv w:val="1"/>
      <w:marLeft w:val="0"/>
      <w:marRight w:val="0"/>
      <w:marTop w:val="0"/>
      <w:marBottom w:val="0"/>
      <w:divBdr>
        <w:top w:val="none" w:sz="0" w:space="0" w:color="auto"/>
        <w:left w:val="none" w:sz="0" w:space="0" w:color="auto"/>
        <w:bottom w:val="none" w:sz="0" w:space="0" w:color="auto"/>
        <w:right w:val="none" w:sz="0" w:space="0" w:color="auto"/>
      </w:divBdr>
    </w:div>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13985038">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176192630">
      <w:bodyDiv w:val="1"/>
      <w:marLeft w:val="0"/>
      <w:marRight w:val="0"/>
      <w:marTop w:val="0"/>
      <w:marBottom w:val="0"/>
      <w:divBdr>
        <w:top w:val="none" w:sz="0" w:space="0" w:color="auto"/>
        <w:left w:val="none" w:sz="0" w:space="0" w:color="auto"/>
        <w:bottom w:val="none" w:sz="0" w:space="0" w:color="auto"/>
        <w:right w:val="none" w:sz="0" w:space="0" w:color="auto"/>
      </w:divBdr>
    </w:div>
    <w:div w:id="199633203">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794068">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769088068">
      <w:bodyDiv w:val="1"/>
      <w:marLeft w:val="0"/>
      <w:marRight w:val="0"/>
      <w:marTop w:val="0"/>
      <w:marBottom w:val="0"/>
      <w:divBdr>
        <w:top w:val="none" w:sz="0" w:space="0" w:color="auto"/>
        <w:left w:val="none" w:sz="0" w:space="0" w:color="auto"/>
        <w:bottom w:val="none" w:sz="0" w:space="0" w:color="auto"/>
        <w:right w:val="none" w:sz="0" w:space="0" w:color="auto"/>
      </w:divBdr>
    </w:div>
    <w:div w:id="793905565">
      <w:bodyDiv w:val="1"/>
      <w:marLeft w:val="0"/>
      <w:marRight w:val="0"/>
      <w:marTop w:val="0"/>
      <w:marBottom w:val="0"/>
      <w:divBdr>
        <w:top w:val="none" w:sz="0" w:space="0" w:color="auto"/>
        <w:left w:val="none" w:sz="0" w:space="0" w:color="auto"/>
        <w:bottom w:val="none" w:sz="0" w:space="0" w:color="auto"/>
        <w:right w:val="none" w:sz="0" w:space="0" w:color="auto"/>
      </w:divBdr>
    </w:div>
    <w:div w:id="819927526">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115948540">
      <w:bodyDiv w:val="1"/>
      <w:marLeft w:val="0"/>
      <w:marRight w:val="0"/>
      <w:marTop w:val="0"/>
      <w:marBottom w:val="0"/>
      <w:divBdr>
        <w:top w:val="none" w:sz="0" w:space="0" w:color="auto"/>
        <w:left w:val="none" w:sz="0" w:space="0" w:color="auto"/>
        <w:bottom w:val="none" w:sz="0" w:space="0" w:color="auto"/>
        <w:right w:val="none" w:sz="0" w:space="0" w:color="auto"/>
      </w:divBdr>
    </w:div>
    <w:div w:id="1196503293">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89824088">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47887866">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569343647">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814758096">
      <w:bodyDiv w:val="1"/>
      <w:marLeft w:val="0"/>
      <w:marRight w:val="0"/>
      <w:marTop w:val="0"/>
      <w:marBottom w:val="0"/>
      <w:divBdr>
        <w:top w:val="none" w:sz="0" w:space="0" w:color="auto"/>
        <w:left w:val="none" w:sz="0" w:space="0" w:color="auto"/>
        <w:bottom w:val="none" w:sz="0" w:space="0" w:color="auto"/>
        <w:right w:val="none" w:sz="0" w:space="0" w:color="auto"/>
      </w:divBdr>
    </w:div>
    <w:div w:id="1837913621">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55803631">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 w:id="2062290026">
      <w:bodyDiv w:val="1"/>
      <w:marLeft w:val="0"/>
      <w:marRight w:val="0"/>
      <w:marTop w:val="0"/>
      <w:marBottom w:val="0"/>
      <w:divBdr>
        <w:top w:val="none" w:sz="0" w:space="0" w:color="auto"/>
        <w:left w:val="none" w:sz="0" w:space="0" w:color="auto"/>
        <w:bottom w:val="none" w:sz="0" w:space="0" w:color="auto"/>
        <w:right w:val="none" w:sz="0" w:space="0" w:color="auto"/>
      </w:divBdr>
    </w:div>
    <w:div w:id="20979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Joh14</b:Tag>
    <b:SourceType>Book</b:SourceType>
    <b:Guid>{54171867-A48E-4B2D-84AF-2D297B1482E8}</b:Guid>
    <b:Title>Waste Management Practices: Municipal, Hazardous, and Industrial</b:Title>
    <b:Year>2014</b:Year>
    <b:Author>
      <b:Author>
        <b:NameList>
          <b:Person>
            <b:Last>Pitchel</b:Last>
            <b:First>John</b:First>
          </b:Person>
        </b:NameList>
      </b:Author>
    </b:Author>
    <b:Publisher>CRC Press: Taylor and Francis Group</b:Publisher>
    <b:RefOrder>2</b:RefOrder>
  </b:Source>
  <b:Source>
    <b:Tag>KIs00</b:Tag>
    <b:SourceType>JournalArticle</b:SourceType>
    <b:Guid>{35BF6430-CD73-4F74-B892-D1A1E97028F7}</b:Guid>
    <b:Title>Microbial succession during a composting process as evaluated by denaturing gradient gel electrophoresis analysis</b:Title>
    <b:Year>2000</b:Year>
    <b:Author>
      <b:Author>
        <b:NameList>
          <b:Person>
            <b:Last>Ishii</b:Last>
            <b:First>K.</b:First>
          </b:Person>
          <b:Person>
            <b:Last>Fukui</b:Last>
            <b:First>M.</b:First>
          </b:Person>
          <b:Person>
            <b:Last>Takii</b:Last>
            <b:First>S.</b:First>
          </b:Person>
        </b:NameList>
      </b:Author>
    </b:Author>
    <b:JournalName>Journal of Applied Microbiology </b:JournalName>
    <b:Pages>768-777</b:Pages>
    <b:RefOrder>1</b:RefOrder>
  </b:Source>
</b:Sources>
</file>

<file path=customXml/itemProps1.xml><?xml version="1.0" encoding="utf-8"?>
<ds:datastoreItem xmlns:ds="http://schemas.openxmlformats.org/officeDocument/2006/customXml" ds:itemID="{71C15DA9-FFF3-4430-A143-E85AFE32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2021-04-11T17:10:00Z</dcterms:created>
  <dcterms:modified xsi:type="dcterms:W3CDTF">2021-04-11T17:10:00Z</dcterms:modified>
</cp:coreProperties>
</file>